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048F118B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3D23439C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849F61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402A6D8D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4621D509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070EB01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3619914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7FBC91ED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B22F0B9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43C4E67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6287906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0B2AB34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46A12FC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22E8995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703"/>
        <w:gridCol w:w="714"/>
        <w:gridCol w:w="849"/>
        <w:gridCol w:w="10"/>
        <w:gridCol w:w="2116"/>
        <w:gridCol w:w="281"/>
        <w:gridCol w:w="1004"/>
        <w:gridCol w:w="128"/>
        <w:gridCol w:w="143"/>
        <w:gridCol w:w="847"/>
        <w:gridCol w:w="570"/>
        <w:gridCol w:w="851"/>
        <w:gridCol w:w="1137"/>
        <w:gridCol w:w="1132"/>
      </w:tblGrid>
      <w:tr w:rsidR="00B83FBE" w:rsidRPr="00227433" w14:paraId="3C24F028" w14:textId="77777777" w:rsidTr="00B83FBE">
        <w:trPr>
          <w:trHeight w:val="269"/>
          <w:jc w:val="center"/>
        </w:trPr>
        <w:tc>
          <w:tcPr>
            <w:tcW w:w="1085" w:type="pct"/>
            <w:gridSpan w:val="4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22" w:type="pct"/>
            <w:gridSpan w:val="3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93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B83FBE">
        <w:trPr>
          <w:trHeight w:val="273"/>
          <w:jc w:val="center"/>
        </w:trPr>
        <w:tc>
          <w:tcPr>
            <w:tcW w:w="1085" w:type="pct"/>
            <w:gridSpan w:val="4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B83FBE">
        <w:trPr>
          <w:trHeight w:val="278"/>
          <w:jc w:val="center"/>
        </w:trPr>
        <w:tc>
          <w:tcPr>
            <w:tcW w:w="1085" w:type="pct"/>
            <w:gridSpan w:val="4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B83FBE">
        <w:trPr>
          <w:trHeight w:val="281"/>
          <w:jc w:val="center"/>
        </w:trPr>
        <w:tc>
          <w:tcPr>
            <w:tcW w:w="1085" w:type="pct"/>
            <w:gridSpan w:val="4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B83FBE">
        <w:trPr>
          <w:trHeight w:val="277"/>
          <w:jc w:val="center"/>
        </w:trPr>
        <w:tc>
          <w:tcPr>
            <w:tcW w:w="1085" w:type="pct"/>
            <w:gridSpan w:val="4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B83FBE">
        <w:trPr>
          <w:trHeight w:val="261"/>
          <w:jc w:val="center"/>
        </w:trPr>
        <w:tc>
          <w:tcPr>
            <w:tcW w:w="1085" w:type="pct"/>
            <w:gridSpan w:val="4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B83FBE">
        <w:trPr>
          <w:trHeight w:val="266"/>
          <w:jc w:val="center"/>
        </w:trPr>
        <w:tc>
          <w:tcPr>
            <w:tcW w:w="1085" w:type="pct"/>
            <w:gridSpan w:val="4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B83FBE">
        <w:trPr>
          <w:trHeight w:val="142"/>
          <w:jc w:val="center"/>
        </w:trPr>
        <w:tc>
          <w:tcPr>
            <w:tcW w:w="1085" w:type="pct"/>
            <w:gridSpan w:val="4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15" w:type="pct"/>
            <w:gridSpan w:val="10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688" w:type="pct"/>
            <w:gridSpan w:val="5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60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688" w:type="pct"/>
            <w:gridSpan w:val="5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88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38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Align w:val="center"/>
          </w:tcPr>
          <w:p w14:paraId="15FAA8DC" w14:textId="77777777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40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688" w:type="pct"/>
            <w:gridSpan w:val="5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688" w:type="pct"/>
            <w:gridSpan w:val="5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014" w:type="pct"/>
            <w:gridSpan w:val="2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pct"/>
            <w:gridSpan w:val="6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842C9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  <w:t>(if applicable):</w:t>
            </w:r>
          </w:p>
        </w:tc>
        <w:tc>
          <w:tcPr>
            <w:tcW w:w="1488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B83FBE" w:rsidRPr="00227433" w14:paraId="072F6D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75" w:type="pct"/>
            <w:gridSpan w:val="2"/>
            <w:vAlign w:val="center"/>
          </w:tcPr>
          <w:p w14:paraId="42EBF2D3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2161" w:type="pct"/>
            <w:gridSpan w:val="7"/>
            <w:vAlign w:val="center"/>
          </w:tcPr>
          <w:p w14:paraId="70CF705A" w14:textId="77777777" w:rsidR="00B83FBE" w:rsidRPr="00842C95" w:rsidRDefault="00B83FBE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61161585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88" w:type="pct"/>
            <w:gridSpan w:val="3"/>
            <w:vAlign w:val="center"/>
          </w:tcPr>
          <w:p w14:paraId="27446DA7" w14:textId="77777777" w:rsidR="00B83FBE" w:rsidRPr="00842C95" w:rsidRDefault="00B83FBE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3" w:type="pct"/>
            <w:gridSpan w:val="4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76" w:type="pct"/>
            <w:gridSpan w:val="2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40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75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3" w:type="pct"/>
            <w:gridSpan w:val="4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64" w:type="pct"/>
            <w:gridSpan w:val="5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5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5CEDC158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</w:t>
            </w:r>
            <w:r w:rsidR="002D382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</w:t>
            </w:r>
            <w:r w:rsidR="00E221B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1017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Default="00B83FBE" w:rsidP="00B83FBE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7D24B70B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0A1F72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E221B6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tbl>
      <w:tblPr>
        <w:tblpPr w:leftFromText="180" w:rightFromText="180" w:vertAnchor="text" w:horzAnchor="margin" w:tblpX="-10" w:tblpY="159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B83FBE" w:rsidRPr="00BF0DEB" w14:paraId="4BE5C041" w14:textId="77777777" w:rsidTr="00DA408F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2AE5E482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E221B6" w:rsidRPr="00981E4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7E1820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6A33" w14:textId="77777777" w:rsidR="006F58D8" w:rsidRDefault="006F58D8" w:rsidP="00AB777C">
      <w:r>
        <w:separator/>
      </w:r>
    </w:p>
  </w:endnote>
  <w:endnote w:type="continuationSeparator" w:id="0">
    <w:p w14:paraId="05EBBC72" w14:textId="77777777" w:rsidR="006F58D8" w:rsidRDefault="006F58D8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1E75" w14:textId="28735F1E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E221B6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21F6" w14:textId="77777777" w:rsidR="006F58D8" w:rsidRDefault="006F58D8" w:rsidP="00AB777C">
      <w:r>
        <w:separator/>
      </w:r>
    </w:p>
  </w:footnote>
  <w:footnote w:type="continuationSeparator" w:id="0">
    <w:p w14:paraId="3D0EE48B" w14:textId="77777777" w:rsidR="006F58D8" w:rsidRDefault="006F58D8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47BF" w14:textId="77777777" w:rsidR="00C6586A" w:rsidRDefault="00C6586A" w:rsidP="00C6586A">
    <w:pPr>
      <w:pStyle w:val="Header"/>
      <w:rPr>
        <w:rFonts w:asciiTheme="minorHAnsi" w:hAnsiTheme="minorHAnsi"/>
        <w:b/>
        <w:noProof/>
        <w:color w:val="212D5F"/>
        <w:sz w:val="28"/>
        <w:szCs w:val="28"/>
      </w:rPr>
    </w:pPr>
    <w:r w:rsidRPr="00957E54">
      <w:rPr>
        <w:rFonts w:asciiTheme="minorHAnsi" w:hAnsiTheme="minorHAnsi"/>
        <w:b/>
        <w:noProof/>
        <w:color w:val="212D5F"/>
        <w:sz w:val="28"/>
        <w:szCs w:val="28"/>
      </w:rPr>
      <w:drawing>
        <wp:anchor distT="0" distB="0" distL="114300" distR="114300" simplePos="0" relativeHeight="251661312" behindDoc="1" locked="0" layoutInCell="1" allowOverlap="1" wp14:anchorId="02CBC7E0" wp14:editId="5EBF81D6">
          <wp:simplePos x="0" y="0"/>
          <wp:positionH relativeFrom="column">
            <wp:posOffset>3444240</wp:posOffset>
          </wp:positionH>
          <wp:positionV relativeFrom="paragraph">
            <wp:posOffset>-1148080</wp:posOffset>
          </wp:positionV>
          <wp:extent cx="5304480" cy="2983707"/>
          <wp:effectExtent l="0" t="0" r="0" b="7620"/>
          <wp:wrapNone/>
          <wp:docPr id="1805860978" name="Picture 1805860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noProof/>
        <w:color w:val="212D5F"/>
        <w:sz w:val="28"/>
        <w:szCs w:val="28"/>
      </w:rPr>
      <w:t>NATIONAL RESILIENCE AND LOCAL EMERGENCY PREPAREDNESS:</w:t>
    </w:r>
  </w:p>
  <w:p w14:paraId="7F852229" w14:textId="396A95FE" w:rsidR="002E53B0" w:rsidRDefault="00C6586A" w:rsidP="00C6586A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>
      <w:rPr>
        <w:rFonts w:asciiTheme="minorHAnsi" w:hAnsiTheme="minorHAnsi"/>
        <w:b/>
        <w:noProof/>
        <w:color w:val="212D5F"/>
        <w:sz w:val="28"/>
        <w:szCs w:val="28"/>
      </w:rPr>
      <w:t xml:space="preserve">EMBEDDING A </w:t>
    </w:r>
    <w:r w:rsidR="00093368" w:rsidRPr="00093368">
      <w:rPr>
        <w:rFonts w:asciiTheme="minorHAnsi" w:hAnsiTheme="minorHAnsi"/>
        <w:b/>
        <w:noProof/>
        <w:color w:val="212D5F"/>
        <w:sz w:val="28"/>
        <w:szCs w:val="28"/>
      </w:rPr>
      <w:t xml:space="preserve">‘WHOLE-SYSTEM’ AND </w:t>
    </w:r>
    <w:r w:rsidRPr="00657939">
      <w:rPr>
        <w:rFonts w:asciiTheme="minorHAnsi" w:hAnsiTheme="minorHAnsi"/>
        <w:b/>
        <w:noProof/>
        <w:color w:val="002060"/>
        <w:sz w:val="28"/>
        <w:szCs w:val="28"/>
      </w:rPr>
      <w:t>‘WHOLE OF SOCIETY</w:t>
    </w:r>
    <w:r>
      <w:rPr>
        <w:rFonts w:asciiTheme="minorHAnsi" w:hAnsiTheme="minorHAnsi"/>
        <w:b/>
        <w:noProof/>
        <w:color w:val="002060"/>
        <w:sz w:val="28"/>
        <w:szCs w:val="28"/>
      </w:rPr>
      <w:t>’</w:t>
    </w:r>
    <w:r w:rsidRPr="00657939">
      <w:rPr>
        <w:rFonts w:asciiTheme="minorHAnsi" w:hAnsiTheme="minorHAnsi"/>
        <w:b/>
        <w:noProof/>
        <w:color w:val="002060"/>
        <w:sz w:val="28"/>
        <w:szCs w:val="28"/>
      </w:rPr>
      <w:t xml:space="preserve"> APPROACH</w:t>
    </w:r>
    <w:r w:rsidR="002E53B0">
      <w:rPr>
        <w:rFonts w:asciiTheme="minorHAnsi" w:hAnsiTheme="minorHAnsi"/>
        <w:b/>
        <w:noProof/>
        <w:color w:val="212D5F"/>
        <w:sz w:val="32"/>
        <w:szCs w:val="32"/>
      </w:rPr>
      <w:t xml:space="preserve"> </w:t>
    </w:r>
  </w:p>
  <w:p w14:paraId="173E14CC" w14:textId="32EA240A" w:rsidR="00AF7F03" w:rsidRPr="00664E9B" w:rsidRDefault="002D382D" w:rsidP="002E53B0">
    <w:pPr>
      <w:pStyle w:val="Header"/>
      <w:rPr>
        <w:rFonts w:asciiTheme="minorHAnsi" w:hAnsiTheme="minorHAnsi"/>
        <w:b/>
        <w:i/>
        <w:sz w:val="26"/>
        <w:szCs w:val="26"/>
      </w:rPr>
    </w:pPr>
    <w:r w:rsidRPr="002D382D">
      <w:rPr>
        <w:rFonts w:asciiTheme="minorHAnsi" w:hAnsiTheme="minorHAnsi"/>
        <w:b/>
        <w:i/>
      </w:rPr>
      <w:t xml:space="preserve">Online Live </w:t>
    </w:r>
    <w:r w:rsidR="00C6586A">
      <w:rPr>
        <w:rFonts w:asciiTheme="minorHAnsi" w:hAnsiTheme="minorHAnsi"/>
        <w:b/>
        <w:i/>
      </w:rPr>
      <w:t>Conference</w:t>
    </w:r>
    <w:r w:rsidRPr="002D382D">
      <w:rPr>
        <w:rFonts w:asciiTheme="minorHAnsi" w:hAnsiTheme="minorHAnsi"/>
        <w:b/>
        <w:i/>
      </w:rPr>
      <w:tab/>
      <w:t xml:space="preserve">                         </w:t>
    </w:r>
    <w:r w:rsidR="00C6586A">
      <w:rPr>
        <w:rFonts w:asciiTheme="minorHAnsi" w:hAnsiTheme="minorHAnsi"/>
        <w:b/>
        <w:i/>
      </w:rPr>
      <w:t>Thur</w:t>
    </w:r>
    <w:r w:rsidRPr="002D382D">
      <w:rPr>
        <w:rFonts w:asciiTheme="minorHAnsi" w:hAnsiTheme="minorHAnsi"/>
        <w:b/>
        <w:i/>
      </w:rPr>
      <w:t xml:space="preserve">sday </w:t>
    </w:r>
    <w:r w:rsidR="00C6586A">
      <w:rPr>
        <w:rFonts w:asciiTheme="minorHAnsi" w:hAnsiTheme="minorHAnsi"/>
        <w:b/>
        <w:i/>
      </w:rPr>
      <w:t>1</w:t>
    </w:r>
    <w:r w:rsidRPr="002D382D">
      <w:rPr>
        <w:rFonts w:asciiTheme="minorHAnsi" w:hAnsiTheme="minorHAnsi"/>
        <w:b/>
        <w:i/>
      </w:rPr>
      <w:t>7</w:t>
    </w:r>
    <w:r w:rsidRPr="002D382D">
      <w:rPr>
        <w:rFonts w:asciiTheme="minorHAnsi" w:hAnsiTheme="minorHAnsi"/>
        <w:b/>
        <w:i/>
        <w:vertAlign w:val="superscript"/>
      </w:rPr>
      <w:t>th</w:t>
    </w:r>
    <w:r w:rsidRPr="002D382D">
      <w:rPr>
        <w:rFonts w:asciiTheme="minorHAnsi" w:hAnsiTheme="minorHAnsi"/>
        <w:b/>
        <w:i/>
      </w:rPr>
      <w:t xml:space="preserve"> </w:t>
    </w:r>
    <w:r w:rsidR="00C6586A">
      <w:rPr>
        <w:rFonts w:asciiTheme="minorHAnsi" w:hAnsiTheme="minorHAnsi"/>
        <w:b/>
        <w:i/>
      </w:rPr>
      <w:t xml:space="preserve">October </w:t>
    </w:r>
    <w:r w:rsidRPr="002D382D">
      <w:rPr>
        <w:rFonts w:asciiTheme="minorHAnsi" w:hAnsiTheme="minorHAnsi"/>
        <w:b/>
        <w:i/>
      </w:rPr>
      <w:t>2024</w:t>
    </w:r>
  </w:p>
  <w:p w14:paraId="43B0864A" w14:textId="77777777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919883">
    <w:abstractNumId w:val="3"/>
  </w:num>
  <w:num w:numId="2" w16cid:durableId="554774267">
    <w:abstractNumId w:val="1"/>
  </w:num>
  <w:num w:numId="3" w16cid:durableId="1554923651">
    <w:abstractNumId w:val="6"/>
  </w:num>
  <w:num w:numId="4" w16cid:durableId="1403020668">
    <w:abstractNumId w:val="7"/>
  </w:num>
  <w:num w:numId="5" w16cid:durableId="1549604968">
    <w:abstractNumId w:val="2"/>
  </w:num>
  <w:num w:numId="6" w16cid:durableId="861671964">
    <w:abstractNumId w:val="5"/>
  </w:num>
  <w:num w:numId="7" w16cid:durableId="32198730">
    <w:abstractNumId w:val="0"/>
  </w:num>
  <w:num w:numId="8" w16cid:durableId="75890985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3368"/>
    <w:rsid w:val="00094C2F"/>
    <w:rsid w:val="00097614"/>
    <w:rsid w:val="000A1F72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76C8"/>
    <w:rsid w:val="001A3060"/>
    <w:rsid w:val="001A3972"/>
    <w:rsid w:val="001A3B7C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382D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5F68"/>
    <w:rsid w:val="003F612E"/>
    <w:rsid w:val="003F7F3B"/>
    <w:rsid w:val="00407633"/>
    <w:rsid w:val="0041599A"/>
    <w:rsid w:val="004225F5"/>
    <w:rsid w:val="00422F4C"/>
    <w:rsid w:val="00445704"/>
    <w:rsid w:val="004520C7"/>
    <w:rsid w:val="00452AB5"/>
    <w:rsid w:val="00452B3E"/>
    <w:rsid w:val="0045641D"/>
    <w:rsid w:val="00473BE5"/>
    <w:rsid w:val="00483667"/>
    <w:rsid w:val="00486BCA"/>
    <w:rsid w:val="00494F03"/>
    <w:rsid w:val="00497F29"/>
    <w:rsid w:val="004A17B8"/>
    <w:rsid w:val="004C46BB"/>
    <w:rsid w:val="004C4FDF"/>
    <w:rsid w:val="004C5C9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74D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2F92"/>
    <w:rsid w:val="005A4D3E"/>
    <w:rsid w:val="005A60E5"/>
    <w:rsid w:val="005A659F"/>
    <w:rsid w:val="005B486E"/>
    <w:rsid w:val="005B7018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39BD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58D8"/>
    <w:rsid w:val="006F7E09"/>
    <w:rsid w:val="00704F1F"/>
    <w:rsid w:val="007053B6"/>
    <w:rsid w:val="007076F8"/>
    <w:rsid w:val="00711225"/>
    <w:rsid w:val="007160F2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A606C"/>
    <w:rsid w:val="007B1E3F"/>
    <w:rsid w:val="007B2C2C"/>
    <w:rsid w:val="007B5338"/>
    <w:rsid w:val="007C5DDE"/>
    <w:rsid w:val="007E1820"/>
    <w:rsid w:val="007F1F6D"/>
    <w:rsid w:val="007F25D8"/>
    <w:rsid w:val="007F33D8"/>
    <w:rsid w:val="007F73C2"/>
    <w:rsid w:val="00811151"/>
    <w:rsid w:val="00812B57"/>
    <w:rsid w:val="00825642"/>
    <w:rsid w:val="00827F0F"/>
    <w:rsid w:val="008340ED"/>
    <w:rsid w:val="00842C95"/>
    <w:rsid w:val="00854334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14683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93C"/>
    <w:rsid w:val="00992BD2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9F2D1E"/>
    <w:rsid w:val="00A01091"/>
    <w:rsid w:val="00A0337F"/>
    <w:rsid w:val="00A06764"/>
    <w:rsid w:val="00A07861"/>
    <w:rsid w:val="00A10877"/>
    <w:rsid w:val="00A12943"/>
    <w:rsid w:val="00A3131C"/>
    <w:rsid w:val="00A46972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0563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5779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EA5"/>
    <w:rsid w:val="00C33D2A"/>
    <w:rsid w:val="00C34D6E"/>
    <w:rsid w:val="00C51365"/>
    <w:rsid w:val="00C64906"/>
    <w:rsid w:val="00C6586A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21715"/>
    <w:rsid w:val="00E221B6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9552F"/>
    <w:rsid w:val="00EA0CBE"/>
    <w:rsid w:val="00EA53F0"/>
    <w:rsid w:val="00EB24DD"/>
    <w:rsid w:val="00EB3DF6"/>
    <w:rsid w:val="00EB66C5"/>
    <w:rsid w:val="00EC2E97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15FA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71B52"/>
    <w:rsid w:val="00F73663"/>
    <w:rsid w:val="00F74DA6"/>
    <w:rsid w:val="00F80105"/>
    <w:rsid w:val="00F819F0"/>
    <w:rsid w:val="00F94F41"/>
    <w:rsid w:val="00FA1BAC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41017_National_Resilience_Emergency_Preparednes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41017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341</cp:revision>
  <cp:lastPrinted>2018-05-29T16:38:00Z</cp:lastPrinted>
  <dcterms:created xsi:type="dcterms:W3CDTF">2014-09-23T17:24:00Z</dcterms:created>
  <dcterms:modified xsi:type="dcterms:W3CDTF">2024-10-01T15:46:00Z</dcterms:modified>
</cp:coreProperties>
</file>